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96818" w14:textId="3313EA09" w:rsidR="00F03DD2" w:rsidRDefault="00720504" w:rsidP="00F03DD2">
      <w:pPr>
        <w:spacing w:line="240" w:lineRule="auto"/>
        <w:rPr>
          <w:rFonts w:ascii="Avenir Next LT Pro" w:hAnsi="Avenir Next LT Pro" w:cstheme="minorHAnsi"/>
          <w:b/>
          <w:sz w:val="26"/>
          <w:szCs w:val="26"/>
        </w:rPr>
      </w:pPr>
      <w:r w:rsidRPr="002A1806">
        <w:rPr>
          <w:rFonts w:ascii="Arial" w:hAnsi="Arial" w:cs="Arial"/>
          <w:b/>
          <w:noProof/>
          <w:sz w:val="44"/>
          <w:szCs w:val="24"/>
        </w:rPr>
        <w:drawing>
          <wp:anchor distT="0" distB="0" distL="114300" distR="114300" simplePos="0" relativeHeight="251665408" behindDoc="0" locked="0" layoutInCell="1" allowOverlap="1" wp14:anchorId="2D3216D5" wp14:editId="5C4C48C8">
            <wp:simplePos x="0" y="0"/>
            <wp:positionH relativeFrom="column">
              <wp:posOffset>5584825</wp:posOffset>
            </wp:positionH>
            <wp:positionV relativeFrom="paragraph">
              <wp:posOffset>15875</wp:posOffset>
            </wp:positionV>
            <wp:extent cx="1166159" cy="969645"/>
            <wp:effectExtent l="0" t="0" r="0" b="1905"/>
            <wp:wrapNone/>
            <wp:docPr id="1" name="Grafik 1" descr="Ein Bild, das Kinderkunst, Zeichnung, Cartoon, Kuns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Kinderkunst, Zeichnung, Cartoon, Kunst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159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806">
        <w:rPr>
          <w:rFonts w:ascii="Arial" w:hAnsi="Arial" w:cs="Arial"/>
          <w:b/>
          <w:noProof/>
          <w:sz w:val="44"/>
          <w:szCs w:val="24"/>
        </w:rPr>
        <w:drawing>
          <wp:anchor distT="0" distB="0" distL="114300" distR="114300" simplePos="0" relativeHeight="251667456" behindDoc="0" locked="0" layoutInCell="1" allowOverlap="1" wp14:anchorId="2073CEEF" wp14:editId="64F8E64C">
            <wp:simplePos x="0" y="0"/>
            <wp:positionH relativeFrom="column">
              <wp:posOffset>45720</wp:posOffset>
            </wp:positionH>
            <wp:positionV relativeFrom="paragraph">
              <wp:posOffset>89535</wp:posOffset>
            </wp:positionV>
            <wp:extent cx="708660" cy="811342"/>
            <wp:effectExtent l="0" t="0" r="0" b="8255"/>
            <wp:wrapNone/>
            <wp:docPr id="2" name="Grafik 2" descr="Ein Bild, das Zeichnung, Kinderkunst, Darstellung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Zeichnung, Kinderkunst, Darstellung, Clipar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811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33243" w14:textId="46CE54D2" w:rsidR="00854B79" w:rsidRPr="00B772F6" w:rsidRDefault="00854B79" w:rsidP="00F03DD2">
      <w:pPr>
        <w:spacing w:line="360" w:lineRule="auto"/>
        <w:jc w:val="center"/>
        <w:rPr>
          <w:rFonts w:ascii="Avenir Next LT Pro" w:hAnsi="Avenir Next LT Pro" w:cstheme="minorHAnsi"/>
          <w:b/>
          <w:sz w:val="26"/>
          <w:szCs w:val="26"/>
        </w:rPr>
      </w:pPr>
      <w:r w:rsidRPr="00B772F6">
        <w:rPr>
          <w:rFonts w:ascii="Avenir Next LT Pro" w:hAnsi="Avenir Next LT Pro" w:cstheme="minorHAnsi"/>
          <w:b/>
          <w:sz w:val="26"/>
          <w:szCs w:val="26"/>
        </w:rPr>
        <w:t xml:space="preserve">Umgang mit Lese-/ Rechtschreibschwierigkeiten (LRS) </w:t>
      </w:r>
      <w:r w:rsidR="00BD4519">
        <w:rPr>
          <w:rFonts w:ascii="Avenir Next LT Pro" w:hAnsi="Avenir Next LT Pro" w:cstheme="minorHAnsi"/>
          <w:b/>
          <w:sz w:val="26"/>
          <w:szCs w:val="26"/>
        </w:rPr>
        <w:br/>
      </w:r>
      <w:r w:rsidRPr="00B772F6">
        <w:rPr>
          <w:rFonts w:ascii="Avenir Next LT Pro" w:hAnsi="Avenir Next LT Pro" w:cstheme="minorHAnsi"/>
          <w:b/>
          <w:sz w:val="26"/>
          <w:szCs w:val="26"/>
        </w:rPr>
        <w:t xml:space="preserve">an der VS </w:t>
      </w:r>
      <w:r w:rsidR="008840C8">
        <w:rPr>
          <w:rFonts w:ascii="Avenir Next LT Pro" w:hAnsi="Avenir Next LT Pro" w:cstheme="minorHAnsi"/>
          <w:b/>
          <w:sz w:val="26"/>
          <w:szCs w:val="26"/>
        </w:rPr>
        <w:t>Oberneukirchen</w:t>
      </w:r>
    </w:p>
    <w:p w14:paraId="7223E0FC" w14:textId="77777777" w:rsidR="000046BB" w:rsidRPr="00B772F6" w:rsidRDefault="000046BB" w:rsidP="00854B79">
      <w:pPr>
        <w:pStyle w:val="BALDTText"/>
        <w:spacing w:line="240" w:lineRule="auto"/>
        <w:rPr>
          <w:rFonts w:ascii="Avenir Next LT Pro" w:hAnsi="Avenir Next LT Pro"/>
          <w:b/>
          <w:bCs/>
          <w:sz w:val="22"/>
          <w:szCs w:val="22"/>
        </w:rPr>
      </w:pPr>
    </w:p>
    <w:p w14:paraId="35028A1D" w14:textId="2DA1553B" w:rsidR="00854B79" w:rsidRPr="00BD4519" w:rsidRDefault="00854B79" w:rsidP="00257C8F">
      <w:pPr>
        <w:jc w:val="both"/>
        <w:rPr>
          <w:rFonts w:ascii="Avenir Next LT Pro" w:hAnsi="Avenir Next LT Pro"/>
        </w:rPr>
      </w:pPr>
      <w:r w:rsidRPr="00BD4519">
        <w:rPr>
          <w:rFonts w:ascii="Avenir Next LT Pro" w:hAnsi="Avenir Next LT Pro"/>
        </w:rPr>
        <w:t>Grundsatz</w:t>
      </w:r>
    </w:p>
    <w:p w14:paraId="52B7C438" w14:textId="5303DFC5" w:rsidR="00BD4519" w:rsidRPr="00BD4519" w:rsidRDefault="00854B79" w:rsidP="00257C8F">
      <w:pPr>
        <w:jc w:val="both"/>
        <w:rPr>
          <w:i/>
          <w:iCs/>
          <w:sz w:val="20"/>
          <w:szCs w:val="20"/>
        </w:rPr>
      </w:pPr>
      <w:r w:rsidRPr="00BD4519">
        <w:rPr>
          <w:rFonts w:ascii="Avenir Next LT Pro" w:hAnsi="Avenir Next LT Pro"/>
          <w:i/>
          <w:iCs/>
          <w:sz w:val="20"/>
          <w:szCs w:val="20"/>
        </w:rPr>
        <w:t xml:space="preserve">Den Pädagoginnen der Volksschule </w:t>
      </w:r>
      <w:r w:rsidR="008840C8">
        <w:rPr>
          <w:rFonts w:ascii="Avenir Next LT Pro" w:hAnsi="Avenir Next LT Pro"/>
          <w:i/>
          <w:iCs/>
          <w:sz w:val="20"/>
          <w:szCs w:val="20"/>
        </w:rPr>
        <w:t>Oberneukirchen</w:t>
      </w:r>
      <w:r w:rsidRPr="00BD4519">
        <w:rPr>
          <w:rFonts w:ascii="Avenir Next LT Pro" w:hAnsi="Avenir Next LT Pro"/>
          <w:i/>
          <w:iCs/>
          <w:sz w:val="20"/>
          <w:szCs w:val="20"/>
        </w:rPr>
        <w:t xml:space="preserve"> ist es ein großes Anliegen, Kindern mit Legasthenie oder Lese-</w:t>
      </w:r>
      <w:r w:rsidRPr="00BD4519">
        <w:rPr>
          <w:rFonts w:ascii="Arial" w:hAnsi="Arial" w:cs="Arial"/>
          <w:i/>
          <w:iCs/>
          <w:sz w:val="20"/>
          <w:szCs w:val="20"/>
        </w:rPr>
        <w:t> </w:t>
      </w:r>
      <w:r w:rsidRPr="00BD4519">
        <w:rPr>
          <w:rFonts w:ascii="Avenir Next LT Pro" w:hAnsi="Avenir Next LT Pro"/>
          <w:i/>
          <w:iCs/>
          <w:sz w:val="20"/>
          <w:szCs w:val="20"/>
        </w:rPr>
        <w:t>/Rechtschreibschwäche (LRS) die bestmögliche Unterstützung beim Erwerb der Schriftsprache zu geben.</w:t>
      </w:r>
      <w:r w:rsidR="00BD4519">
        <w:rPr>
          <w:i/>
          <w:iCs/>
          <w:sz w:val="20"/>
          <w:szCs w:val="20"/>
        </w:rPr>
        <w:br/>
      </w:r>
    </w:p>
    <w:p w14:paraId="368E1FCC" w14:textId="35A770B6" w:rsidR="00854B79" w:rsidRPr="001535CA" w:rsidRDefault="00854B79" w:rsidP="00F03DD2">
      <w:pPr>
        <w:spacing w:line="240" w:lineRule="auto"/>
        <w:jc w:val="both"/>
        <w:rPr>
          <w:rFonts w:ascii="Avenir Next LT Pro" w:hAnsi="Avenir Next LT Pro" w:cstheme="minorHAnsi"/>
          <w:b/>
          <w:bCs/>
        </w:rPr>
      </w:pPr>
      <w:r w:rsidRPr="00B772F6">
        <w:rPr>
          <w:rFonts w:ascii="Avenir Next LT Pro" w:hAnsi="Avenir Next LT Pro" w:cstheme="minorHAnsi"/>
          <w:b/>
          <w:bCs/>
        </w:rPr>
        <w:t>Diagnostik</w:t>
      </w:r>
      <w:r w:rsidR="001535CA">
        <w:rPr>
          <w:rFonts w:ascii="Avenir Next LT Pro" w:hAnsi="Avenir Next LT Pro" w:cstheme="minorHAnsi"/>
          <w:b/>
          <w:bCs/>
        </w:rPr>
        <w:br/>
      </w:r>
      <w:r w:rsidRPr="00B772F6">
        <w:rPr>
          <w:rFonts w:ascii="Avenir Next LT Pro" w:hAnsi="Avenir Next LT Pro" w:cstheme="minorHAnsi"/>
        </w:rPr>
        <w:t>Die Schule bedient sich verschiedener Screeningverfahren, die dazu dienen, Risikoschüler*innen frühzeitig zu erkennen und anschließend zu fördern.</w:t>
      </w:r>
    </w:p>
    <w:p w14:paraId="500A69AC" w14:textId="2A1B70E5" w:rsidR="00854B79" w:rsidRPr="001535CA" w:rsidRDefault="00854B79" w:rsidP="00F03DD2">
      <w:pPr>
        <w:spacing w:line="240" w:lineRule="auto"/>
        <w:jc w:val="both"/>
        <w:rPr>
          <w:rFonts w:ascii="Avenir Next LT Pro" w:hAnsi="Avenir Next LT Pro" w:cstheme="minorHAnsi"/>
          <w:b/>
          <w:bCs/>
        </w:rPr>
      </w:pPr>
      <w:r w:rsidRPr="00B772F6">
        <w:rPr>
          <w:rFonts w:ascii="Avenir Next LT Pro" w:hAnsi="Avenir Next LT Pro" w:cstheme="minorHAnsi"/>
          <w:b/>
          <w:bCs/>
        </w:rPr>
        <w:t>Förderung</w:t>
      </w:r>
      <w:r w:rsidR="001535CA">
        <w:rPr>
          <w:rFonts w:ascii="Avenir Next LT Pro" w:hAnsi="Avenir Next LT Pro" w:cstheme="minorHAnsi"/>
          <w:b/>
          <w:bCs/>
        </w:rPr>
        <w:br/>
      </w:r>
      <w:r w:rsidRPr="00B772F6">
        <w:rPr>
          <w:rFonts w:ascii="Avenir Next LT Pro" w:hAnsi="Avenir Next LT Pro" w:cstheme="minorHAnsi"/>
        </w:rPr>
        <w:t xml:space="preserve">Fördermaßnahmen werden von den Klassenlehrer*innen, den Teamlehrer*innen und fallweise von externen Personen (Lesepaten, </w:t>
      </w:r>
      <w:r w:rsidR="009661AD">
        <w:rPr>
          <w:rFonts w:ascii="Avenir Next LT Pro" w:hAnsi="Avenir Next LT Pro" w:cstheme="minorHAnsi"/>
        </w:rPr>
        <w:t>m</w:t>
      </w:r>
      <w:r w:rsidR="00DB287C">
        <w:rPr>
          <w:rFonts w:ascii="Avenir Next LT Pro" w:hAnsi="Avenir Next LT Pro" w:cstheme="minorHAnsi"/>
        </w:rPr>
        <w:t>obile Lehr</w:t>
      </w:r>
      <w:r w:rsidR="001535CA">
        <w:rPr>
          <w:rFonts w:ascii="Avenir Next LT Pro" w:hAnsi="Avenir Next LT Pro" w:cstheme="minorHAnsi"/>
        </w:rPr>
        <w:t>kraft für Pädagogik</w:t>
      </w:r>
      <w:r w:rsidRPr="00B772F6">
        <w:rPr>
          <w:rFonts w:ascii="Avenir Next LT Pro" w:hAnsi="Avenir Next LT Pro" w:cstheme="minorHAnsi"/>
        </w:rPr>
        <w:t>,</w:t>
      </w:r>
      <w:r w:rsidR="00DB287C">
        <w:rPr>
          <w:rFonts w:ascii="Avenir Next LT Pro" w:hAnsi="Avenir Next LT Pro" w:cstheme="minorHAnsi"/>
        </w:rPr>
        <w:t xml:space="preserve"> .</w:t>
      </w:r>
      <w:r w:rsidRPr="00B772F6">
        <w:rPr>
          <w:rFonts w:ascii="Avenir Next LT Pro" w:hAnsi="Avenir Next LT Pro" w:cstheme="minorHAnsi"/>
        </w:rPr>
        <w:t>..) umgesetzt. Dies erfolgt in Abstimmung mit de</w:t>
      </w:r>
      <w:r w:rsidR="00DB287C">
        <w:rPr>
          <w:rFonts w:ascii="Avenir Next LT Pro" w:hAnsi="Avenir Next LT Pro" w:cstheme="minorHAnsi"/>
        </w:rPr>
        <w:t>m</w:t>
      </w:r>
      <w:r w:rsidRPr="00B772F6">
        <w:rPr>
          <w:rFonts w:ascii="Avenir Next LT Pro" w:hAnsi="Avenir Next LT Pro" w:cstheme="minorHAnsi"/>
        </w:rPr>
        <w:t xml:space="preserve"> LRS-Förderkonzept, welches an der Schule aufliegt. </w:t>
      </w:r>
    </w:p>
    <w:p w14:paraId="13398B54" w14:textId="63CB1639" w:rsidR="00854B79" w:rsidRPr="001535CA" w:rsidRDefault="00854B79" w:rsidP="00F03DD2">
      <w:pPr>
        <w:spacing w:line="240" w:lineRule="auto"/>
        <w:jc w:val="both"/>
        <w:rPr>
          <w:rFonts w:ascii="Avenir Next LT Pro" w:hAnsi="Avenir Next LT Pro" w:cstheme="minorHAnsi"/>
          <w:b/>
          <w:bCs/>
        </w:rPr>
      </w:pPr>
      <w:r w:rsidRPr="00B772F6">
        <w:rPr>
          <w:rFonts w:ascii="Avenir Next LT Pro" w:hAnsi="Avenir Next LT Pro" w:cstheme="minorHAnsi"/>
          <w:b/>
          <w:bCs/>
        </w:rPr>
        <w:t>Elternberatung</w:t>
      </w:r>
      <w:r w:rsidR="001535CA">
        <w:rPr>
          <w:rFonts w:ascii="Avenir Next LT Pro" w:hAnsi="Avenir Next LT Pro" w:cstheme="minorHAnsi"/>
          <w:b/>
          <w:bCs/>
        </w:rPr>
        <w:br/>
      </w:r>
      <w:r w:rsidRPr="00B772F6">
        <w:rPr>
          <w:rFonts w:ascii="Avenir Next LT Pro" w:hAnsi="Avenir Next LT Pro" w:cstheme="minorHAnsi"/>
        </w:rPr>
        <w:t>Eltern werden über geeignete Methoden für ihr Kind informiert und beraten. Zusätzlich bekommen sie Informationen zu außerschulischen Angeboten und Beratungsstellen.</w:t>
      </w:r>
    </w:p>
    <w:p w14:paraId="7BA119FA" w14:textId="0BA27041" w:rsidR="00854B79" w:rsidRPr="001535CA" w:rsidRDefault="00854B79" w:rsidP="00F03DD2">
      <w:pPr>
        <w:spacing w:line="240" w:lineRule="auto"/>
        <w:jc w:val="both"/>
        <w:rPr>
          <w:rFonts w:ascii="Avenir Next LT Pro" w:hAnsi="Avenir Next LT Pro" w:cstheme="minorHAnsi"/>
          <w:b/>
          <w:bCs/>
        </w:rPr>
      </w:pPr>
      <w:r w:rsidRPr="00B772F6">
        <w:rPr>
          <w:rFonts w:ascii="Avenir Next LT Pro" w:hAnsi="Avenir Next LT Pro" w:cstheme="minorHAnsi"/>
          <w:b/>
          <w:bCs/>
        </w:rPr>
        <w:t>Nachteilsausgleich</w:t>
      </w:r>
      <w:r w:rsidR="001535CA">
        <w:rPr>
          <w:rFonts w:ascii="Avenir Next LT Pro" w:hAnsi="Avenir Next LT Pro" w:cstheme="minorHAnsi"/>
          <w:b/>
          <w:bCs/>
        </w:rPr>
        <w:br/>
      </w:r>
      <w:r w:rsidRPr="00B772F6">
        <w:rPr>
          <w:rFonts w:ascii="Avenir Next LT Pro" w:hAnsi="Avenir Next LT Pro" w:cstheme="minorHAnsi"/>
        </w:rPr>
        <w:t>Schüler*innen mit Lese-</w:t>
      </w:r>
      <w:r w:rsidR="005829F5">
        <w:rPr>
          <w:rFonts w:ascii="Avenir Next LT Pro" w:hAnsi="Avenir Next LT Pro" w:cstheme="minorHAnsi"/>
        </w:rPr>
        <w:t xml:space="preserve"> und </w:t>
      </w:r>
      <w:r w:rsidRPr="00B772F6">
        <w:rPr>
          <w:rFonts w:ascii="Avenir Next LT Pro" w:hAnsi="Avenir Next LT Pro" w:cstheme="minorHAnsi"/>
        </w:rPr>
        <w:t>Rechtschreibschwierigkeiten haben Anrecht auf einen Nachteilsausgleich. Je nach Möglichkeiten des Kindes wird dieser individuell angepasst.</w:t>
      </w:r>
    </w:p>
    <w:p w14:paraId="1873A9FD" w14:textId="77777777" w:rsidR="00854B79" w:rsidRDefault="00854B79" w:rsidP="00F03DD2">
      <w:pPr>
        <w:spacing w:line="240" w:lineRule="auto"/>
        <w:jc w:val="both"/>
        <w:rPr>
          <w:rFonts w:ascii="Avenir Next LT Pro" w:hAnsi="Avenir Next LT Pro" w:cstheme="minorHAnsi"/>
          <w:b/>
          <w:sz w:val="26"/>
          <w:szCs w:val="26"/>
        </w:rPr>
      </w:pPr>
    </w:p>
    <w:p w14:paraId="22BCBBC6" w14:textId="77777777" w:rsidR="005C211D" w:rsidRDefault="005C211D" w:rsidP="00F03DD2">
      <w:pPr>
        <w:spacing w:line="240" w:lineRule="auto"/>
        <w:jc w:val="both"/>
        <w:rPr>
          <w:rFonts w:ascii="Avenir Next LT Pro" w:hAnsi="Avenir Next LT Pro" w:cstheme="minorHAnsi"/>
          <w:b/>
          <w:sz w:val="26"/>
          <w:szCs w:val="26"/>
        </w:rPr>
      </w:pPr>
    </w:p>
    <w:p w14:paraId="23C4BF7F" w14:textId="26590EB8" w:rsidR="00854B79" w:rsidRDefault="00854B79" w:rsidP="00720504">
      <w:pPr>
        <w:spacing w:line="240" w:lineRule="auto"/>
        <w:jc w:val="center"/>
        <w:rPr>
          <w:rFonts w:ascii="Avenir Next LT Pro" w:hAnsi="Avenir Next LT Pro" w:cstheme="minorHAnsi"/>
          <w:b/>
          <w:sz w:val="26"/>
          <w:szCs w:val="26"/>
        </w:rPr>
      </w:pPr>
      <w:r w:rsidRPr="00B772F6">
        <w:rPr>
          <w:rFonts w:ascii="Avenir Next LT Pro" w:hAnsi="Avenir Next LT Pro" w:cstheme="minorHAnsi"/>
          <w:b/>
          <w:sz w:val="26"/>
          <w:szCs w:val="26"/>
        </w:rPr>
        <w:t xml:space="preserve">Umgang mit Rechenschwierigkeiten an der VS </w:t>
      </w:r>
      <w:r w:rsidR="008840C8">
        <w:rPr>
          <w:rFonts w:ascii="Avenir Next LT Pro" w:hAnsi="Avenir Next LT Pro" w:cstheme="minorHAnsi"/>
          <w:b/>
          <w:sz w:val="26"/>
          <w:szCs w:val="26"/>
        </w:rPr>
        <w:t>Oberneukirchen</w:t>
      </w:r>
    </w:p>
    <w:p w14:paraId="7276BEA0" w14:textId="77777777" w:rsidR="00720504" w:rsidRPr="00B772F6" w:rsidRDefault="00720504" w:rsidP="00F03DD2">
      <w:pPr>
        <w:spacing w:line="240" w:lineRule="auto"/>
        <w:jc w:val="center"/>
        <w:rPr>
          <w:rFonts w:ascii="Avenir Next LT Pro" w:hAnsi="Avenir Next LT Pro" w:cstheme="minorHAnsi"/>
          <w:b/>
          <w:sz w:val="26"/>
          <w:szCs w:val="26"/>
        </w:rPr>
      </w:pPr>
    </w:p>
    <w:p w14:paraId="4DF32641" w14:textId="77777777" w:rsidR="00854B79" w:rsidRPr="00F85807" w:rsidRDefault="00854B79" w:rsidP="00257C8F">
      <w:pPr>
        <w:jc w:val="both"/>
        <w:rPr>
          <w:rFonts w:ascii="Avenir Next LT Pro" w:hAnsi="Avenir Next LT Pro"/>
        </w:rPr>
      </w:pPr>
      <w:r w:rsidRPr="00F85807">
        <w:rPr>
          <w:rFonts w:ascii="Avenir Next LT Pro" w:hAnsi="Avenir Next LT Pro"/>
        </w:rPr>
        <w:t>Grundsatz</w:t>
      </w:r>
    </w:p>
    <w:p w14:paraId="61C39938" w14:textId="1ECCEA06" w:rsidR="001535CA" w:rsidRPr="00BD4519" w:rsidRDefault="00854B79" w:rsidP="00257C8F">
      <w:pPr>
        <w:jc w:val="both"/>
        <w:rPr>
          <w:rFonts w:ascii="Avenir Next LT Pro" w:hAnsi="Avenir Next LT Pro"/>
          <w:i/>
          <w:iCs/>
          <w:sz w:val="20"/>
          <w:szCs w:val="20"/>
        </w:rPr>
      </w:pPr>
      <w:r w:rsidRPr="00F85807">
        <w:rPr>
          <w:rFonts w:ascii="Avenir Next LT Pro" w:hAnsi="Avenir Next LT Pro"/>
          <w:i/>
          <w:iCs/>
          <w:sz w:val="20"/>
          <w:szCs w:val="20"/>
        </w:rPr>
        <w:t>An unserer Schule ist es allen Pädagoginnen und Pädagogen ein Anliegen, Kindern mit Dyskalkulie oder Rechenschwäche die größtmögliche Unterstützung beim Rechenerwerb zu geben.</w:t>
      </w:r>
      <w:r w:rsidR="00BD4519">
        <w:rPr>
          <w:rFonts w:ascii="Avenir Next LT Pro" w:hAnsi="Avenir Next LT Pro"/>
          <w:i/>
          <w:iCs/>
          <w:sz w:val="20"/>
          <w:szCs w:val="20"/>
        </w:rPr>
        <w:br/>
      </w:r>
    </w:p>
    <w:p w14:paraId="1E10D8E5" w14:textId="363AADDD" w:rsidR="00F03DD2" w:rsidRPr="00F85807" w:rsidRDefault="00854B79" w:rsidP="00257C8F">
      <w:pPr>
        <w:jc w:val="both"/>
        <w:rPr>
          <w:rFonts w:ascii="Avenir Next LT Pro" w:hAnsi="Avenir Next LT Pro" w:cstheme="minorHAnsi"/>
        </w:rPr>
      </w:pPr>
      <w:r w:rsidRPr="00BD4519">
        <w:rPr>
          <w:rFonts w:ascii="Avenir Next LT Pro" w:hAnsi="Avenir Next LT Pro" w:cstheme="minorHAnsi"/>
          <w:b/>
          <w:bCs/>
        </w:rPr>
        <w:t>Diagnostik</w:t>
      </w:r>
      <w:r w:rsidR="001535CA" w:rsidRPr="00BD4519">
        <w:rPr>
          <w:rFonts w:ascii="Avenir Next LT Pro" w:hAnsi="Avenir Next LT Pro" w:cstheme="minorHAnsi"/>
          <w:b/>
          <w:bCs/>
        </w:rPr>
        <w:br/>
      </w:r>
      <w:r w:rsidRPr="00F85807">
        <w:rPr>
          <w:rFonts w:ascii="Avenir Next LT Pro" w:hAnsi="Avenir Next LT Pro" w:cstheme="minorHAnsi"/>
        </w:rPr>
        <w:t>Die Schule bedient sich verschiedener Screeningverfahren, die dazu dienen, Risikoschüler*innen frühzeitig zu erkennen und anschließend zu fördern.</w:t>
      </w:r>
    </w:p>
    <w:p w14:paraId="165F40D0" w14:textId="5B9FC128" w:rsidR="00854B79" w:rsidRPr="00F85807" w:rsidRDefault="00854B79" w:rsidP="00257C8F">
      <w:pPr>
        <w:jc w:val="both"/>
        <w:rPr>
          <w:rFonts w:ascii="Avenir Next LT Pro" w:hAnsi="Avenir Next LT Pro" w:cstheme="minorHAnsi"/>
        </w:rPr>
      </w:pPr>
      <w:r w:rsidRPr="00BD4519">
        <w:rPr>
          <w:rFonts w:ascii="Avenir Next LT Pro" w:hAnsi="Avenir Next LT Pro" w:cstheme="minorHAnsi"/>
          <w:b/>
          <w:bCs/>
        </w:rPr>
        <w:t>Förderung</w:t>
      </w:r>
      <w:r w:rsidR="00BD4519">
        <w:rPr>
          <w:rFonts w:ascii="Avenir Next LT Pro" w:hAnsi="Avenir Next LT Pro" w:cstheme="minorHAnsi"/>
        </w:rPr>
        <w:br/>
      </w:r>
      <w:r w:rsidRPr="00F85807">
        <w:rPr>
          <w:rFonts w:ascii="Avenir Next LT Pro" w:hAnsi="Avenir Next LT Pro" w:cstheme="minorHAnsi"/>
        </w:rPr>
        <w:t>Fördermaßnahmen werden von den Klassenlehrer*innen, den Teamlehrer*innen und fallweise von externen Personen (</w:t>
      </w:r>
      <w:r w:rsidR="009661AD">
        <w:rPr>
          <w:rFonts w:ascii="Avenir Next LT Pro" w:hAnsi="Avenir Next LT Pro" w:cstheme="minorHAnsi"/>
        </w:rPr>
        <w:t>m</w:t>
      </w:r>
      <w:r w:rsidR="00DB287C" w:rsidRPr="00F85807">
        <w:rPr>
          <w:rFonts w:ascii="Avenir Next LT Pro" w:hAnsi="Avenir Next LT Pro" w:cstheme="minorHAnsi"/>
        </w:rPr>
        <w:t>obile Lehr</w:t>
      </w:r>
      <w:r w:rsidR="001535CA" w:rsidRPr="00F85807">
        <w:rPr>
          <w:rFonts w:ascii="Avenir Next LT Pro" w:hAnsi="Avenir Next LT Pro" w:cstheme="minorHAnsi"/>
        </w:rPr>
        <w:t>kraft für Pädagogik</w:t>
      </w:r>
      <w:r w:rsidR="00DB287C" w:rsidRPr="00F85807">
        <w:rPr>
          <w:rFonts w:ascii="Avenir Next LT Pro" w:hAnsi="Avenir Next LT Pro" w:cstheme="minorHAnsi"/>
        </w:rPr>
        <w:t xml:space="preserve">, </w:t>
      </w:r>
      <w:r w:rsidRPr="00F85807">
        <w:rPr>
          <w:rFonts w:ascii="Avenir Next LT Pro" w:hAnsi="Avenir Next LT Pro" w:cstheme="minorHAnsi"/>
        </w:rPr>
        <w:t>...) umgesetzt. Dies erfolgt in Abstimmung mit de</w:t>
      </w:r>
      <w:r w:rsidR="00DB287C" w:rsidRPr="00F85807">
        <w:rPr>
          <w:rFonts w:ascii="Avenir Next LT Pro" w:hAnsi="Avenir Next LT Pro" w:cstheme="minorHAnsi"/>
        </w:rPr>
        <w:t xml:space="preserve">m </w:t>
      </w:r>
      <w:r w:rsidRPr="00F85807">
        <w:rPr>
          <w:rFonts w:ascii="Avenir Next LT Pro" w:hAnsi="Avenir Next LT Pro" w:cstheme="minorHAnsi"/>
        </w:rPr>
        <w:t>Dyskalkulie</w:t>
      </w:r>
      <w:r w:rsidR="00BD4519">
        <w:rPr>
          <w:rFonts w:ascii="Avenir Next LT Pro" w:hAnsi="Avenir Next LT Pro" w:cstheme="minorHAnsi"/>
        </w:rPr>
        <w:t>-</w:t>
      </w:r>
      <w:r w:rsidRPr="00F85807">
        <w:rPr>
          <w:rFonts w:ascii="Avenir Next LT Pro" w:hAnsi="Avenir Next LT Pro" w:cstheme="minorHAnsi"/>
        </w:rPr>
        <w:t xml:space="preserve"> und Rechenschwäche-Förderkonzept, welches an der Schule aufliegt. </w:t>
      </w:r>
    </w:p>
    <w:p w14:paraId="21130972" w14:textId="4E7A6985" w:rsidR="00854B79" w:rsidRPr="00F85807" w:rsidRDefault="00854B79" w:rsidP="00257C8F">
      <w:pPr>
        <w:jc w:val="both"/>
        <w:rPr>
          <w:rFonts w:ascii="Avenir Next LT Pro" w:hAnsi="Avenir Next LT Pro" w:cstheme="minorHAnsi"/>
        </w:rPr>
      </w:pPr>
      <w:r w:rsidRPr="00BD4519">
        <w:rPr>
          <w:rFonts w:ascii="Avenir Next LT Pro" w:hAnsi="Avenir Next LT Pro" w:cstheme="minorHAnsi"/>
          <w:b/>
          <w:bCs/>
        </w:rPr>
        <w:t>Elternberatung</w:t>
      </w:r>
      <w:r w:rsidR="00BD4519">
        <w:rPr>
          <w:rFonts w:ascii="Avenir Next LT Pro" w:hAnsi="Avenir Next LT Pro" w:cstheme="minorHAnsi"/>
        </w:rPr>
        <w:br/>
      </w:r>
      <w:r w:rsidRPr="00F85807">
        <w:rPr>
          <w:rFonts w:ascii="Avenir Next LT Pro" w:hAnsi="Avenir Next LT Pro" w:cstheme="minorHAnsi"/>
        </w:rPr>
        <w:t>Eltern werden über geeignete Methoden für ihr Kind informiert und beraten. Zusätzlich bekommen sie Informationen zu außerschulischen Angeboten und Beratungsstellen.</w:t>
      </w:r>
    </w:p>
    <w:p w14:paraId="40CD4378" w14:textId="3EDDFCAB" w:rsidR="001F46C8" w:rsidRPr="00F85807" w:rsidRDefault="00854B79" w:rsidP="00257C8F">
      <w:pPr>
        <w:jc w:val="both"/>
        <w:rPr>
          <w:rFonts w:ascii="Avenir Next LT Pro" w:hAnsi="Avenir Next LT Pro" w:cstheme="minorHAnsi"/>
        </w:rPr>
      </w:pPr>
      <w:r w:rsidRPr="00BD4519">
        <w:rPr>
          <w:rFonts w:ascii="Avenir Next LT Pro" w:hAnsi="Avenir Next LT Pro" w:cstheme="minorHAnsi"/>
          <w:b/>
          <w:bCs/>
        </w:rPr>
        <w:t>Nachteilsausgleich</w:t>
      </w:r>
      <w:r w:rsidR="00BD4519">
        <w:rPr>
          <w:rFonts w:ascii="Avenir Next LT Pro" w:hAnsi="Avenir Next LT Pro" w:cstheme="minorHAnsi"/>
        </w:rPr>
        <w:br/>
      </w:r>
      <w:r w:rsidRPr="00F85807">
        <w:rPr>
          <w:rFonts w:ascii="Avenir Next LT Pro" w:hAnsi="Avenir Next LT Pro" w:cstheme="minorHAnsi"/>
        </w:rPr>
        <w:t>Schüler*innen mit Rechenschwäche oder Dyskalkulie haben Anrecht auf einen Nachteilsausgleich. Je nach Möglic</w:t>
      </w:r>
      <w:r w:rsidR="000046BB">
        <w:rPr>
          <w:rFonts w:ascii="Avenir Next LT Pro" w:hAnsi="Avenir Next LT Pro" w:cstheme="minorHAnsi"/>
        </w:rPr>
        <w:t>h</w:t>
      </w:r>
      <w:r w:rsidRPr="00F85807">
        <w:rPr>
          <w:rFonts w:ascii="Avenir Next LT Pro" w:hAnsi="Avenir Next LT Pro" w:cstheme="minorHAnsi"/>
        </w:rPr>
        <w:t>keiten des Kindes wird dieser individuell angepasst.</w:t>
      </w:r>
      <w:r w:rsidR="00F03DD2" w:rsidRPr="00F85807">
        <w:rPr>
          <w:rFonts w:ascii="Avenir Next LT Pro" w:hAnsi="Avenir Next LT Pro"/>
          <w:noProof/>
        </w:rPr>
        <w:t xml:space="preserve"> </w:t>
      </w:r>
    </w:p>
    <w:sectPr w:rsidR="001F46C8" w:rsidRPr="00F85807" w:rsidSect="00745ECE">
      <w:footerReference w:type="default" r:id="rId9"/>
      <w:pgSz w:w="11906" w:h="16838"/>
      <w:pgMar w:top="568" w:right="720" w:bottom="397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BD4C3" w14:textId="77777777" w:rsidR="00777D5D" w:rsidRDefault="00777D5D">
      <w:pPr>
        <w:spacing w:after="0" w:line="240" w:lineRule="auto"/>
      </w:pPr>
      <w:r>
        <w:separator/>
      </w:r>
    </w:p>
  </w:endnote>
  <w:endnote w:type="continuationSeparator" w:id="0">
    <w:p w14:paraId="01C6BFB6" w14:textId="77777777" w:rsidR="00777D5D" w:rsidRDefault="00777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53D32" w14:textId="7937666F" w:rsidR="008D5004" w:rsidRPr="001F4066" w:rsidRDefault="001B1C5F" w:rsidP="00D80508">
    <w:pPr>
      <w:pStyle w:val="Fuzeile"/>
      <w:jc w:val="both"/>
      <w:rPr>
        <w:rFonts w:ascii="Avenir Next LT Pro" w:hAnsi="Avenir Next LT Pro"/>
      </w:rPr>
    </w:pPr>
    <w:r>
      <w:tab/>
    </w:r>
    <w:r>
      <w:tab/>
      <w:t xml:space="preserve">  </w:t>
    </w:r>
    <w:r>
      <w:tab/>
    </w:r>
    <w:r>
      <w:tab/>
    </w:r>
  </w:p>
  <w:p w14:paraId="0E698CD8" w14:textId="77777777" w:rsidR="008D5004" w:rsidRDefault="008D50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32F08" w14:textId="77777777" w:rsidR="00777D5D" w:rsidRDefault="00777D5D">
      <w:pPr>
        <w:spacing w:after="0" w:line="240" w:lineRule="auto"/>
      </w:pPr>
      <w:r>
        <w:separator/>
      </w:r>
    </w:p>
  </w:footnote>
  <w:footnote w:type="continuationSeparator" w:id="0">
    <w:p w14:paraId="17513282" w14:textId="77777777" w:rsidR="00777D5D" w:rsidRDefault="00777D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79"/>
    <w:rsid w:val="000046BB"/>
    <w:rsid w:val="000145F6"/>
    <w:rsid w:val="00104BB7"/>
    <w:rsid w:val="00132EC0"/>
    <w:rsid w:val="001535CA"/>
    <w:rsid w:val="001B1C5F"/>
    <w:rsid w:val="001F46C8"/>
    <w:rsid w:val="00257C8F"/>
    <w:rsid w:val="003E47EE"/>
    <w:rsid w:val="005829F5"/>
    <w:rsid w:val="005C211D"/>
    <w:rsid w:val="00666755"/>
    <w:rsid w:val="006E62B4"/>
    <w:rsid w:val="00720504"/>
    <w:rsid w:val="00745ECE"/>
    <w:rsid w:val="00762A20"/>
    <w:rsid w:val="00777D5D"/>
    <w:rsid w:val="007A7FCE"/>
    <w:rsid w:val="007B5391"/>
    <w:rsid w:val="00807E47"/>
    <w:rsid w:val="00854B79"/>
    <w:rsid w:val="008840C8"/>
    <w:rsid w:val="008C23B1"/>
    <w:rsid w:val="008D5004"/>
    <w:rsid w:val="009661AD"/>
    <w:rsid w:val="009F66EB"/>
    <w:rsid w:val="00B17855"/>
    <w:rsid w:val="00BD4519"/>
    <w:rsid w:val="00C56DEE"/>
    <w:rsid w:val="00C70207"/>
    <w:rsid w:val="00CA360F"/>
    <w:rsid w:val="00D9634C"/>
    <w:rsid w:val="00DA193A"/>
    <w:rsid w:val="00DB287C"/>
    <w:rsid w:val="00E31083"/>
    <w:rsid w:val="00EF67C6"/>
    <w:rsid w:val="00F03DD2"/>
    <w:rsid w:val="00F678CD"/>
    <w:rsid w:val="00F8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2FD7"/>
  <w15:chartTrackingRefBased/>
  <w15:docId w15:val="{C57E9634-3B26-4D97-9459-4B9E1F5E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4B79"/>
  </w:style>
  <w:style w:type="paragraph" w:styleId="berschrift1">
    <w:name w:val="heading 1"/>
    <w:basedOn w:val="Standard"/>
    <w:next w:val="Standard"/>
    <w:link w:val="berschrift1Zchn"/>
    <w:uiPriority w:val="9"/>
    <w:qFormat/>
    <w:rsid w:val="00854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4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4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4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4B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4B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4B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4B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4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4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4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4B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4B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4B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4B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4B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4B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54B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4B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4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54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4B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54B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4B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4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4B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54B79"/>
    <w:rPr>
      <w:b/>
      <w:bCs/>
      <w:smallCaps/>
      <w:color w:val="0F4761" w:themeColor="accent1" w:themeShade="BF"/>
      <w:spacing w:val="5"/>
    </w:rPr>
  </w:style>
  <w:style w:type="paragraph" w:customStyle="1" w:styleId="BALDTText">
    <w:name w:val="BALDT Text"/>
    <w:basedOn w:val="Standard"/>
    <w:link w:val="BALDTTextZchn"/>
    <w:qFormat/>
    <w:rsid w:val="00854B79"/>
    <w:pPr>
      <w:tabs>
        <w:tab w:val="left" w:pos="0"/>
      </w:tabs>
      <w:autoSpaceDE w:val="0"/>
      <w:autoSpaceDN w:val="0"/>
      <w:adjustRightInd w:val="0"/>
      <w:spacing w:after="0" w:line="300" w:lineRule="auto"/>
      <w:contextualSpacing/>
      <w:jc w:val="both"/>
    </w:pPr>
    <w:rPr>
      <w:rFonts w:ascii="Century Gothic" w:hAnsi="Century Gothic" w:cs="Century Gothic"/>
      <w:kern w:val="0"/>
      <w:sz w:val="24"/>
      <w:szCs w:val="24"/>
      <w14:ligatures w14:val="none"/>
    </w:rPr>
  </w:style>
  <w:style w:type="character" w:customStyle="1" w:styleId="BALDTTextZchn">
    <w:name w:val="BALDT Text Zchn"/>
    <w:basedOn w:val="Absatz-Standardschriftart"/>
    <w:link w:val="BALDTText"/>
    <w:qFormat/>
    <w:rsid w:val="00854B79"/>
    <w:rPr>
      <w:rFonts w:ascii="Century Gothic" w:hAnsi="Century Gothic" w:cs="Century Gothic"/>
      <w:kern w:val="0"/>
      <w:sz w:val="24"/>
      <w:szCs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54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4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B45F-F8BB-4141-BB67-82F7C8C1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 Bad Leonfelden</dc:creator>
  <cp:keywords/>
  <dc:description/>
  <cp:lastModifiedBy>Direktion VS Traberg</cp:lastModifiedBy>
  <cp:revision>10</cp:revision>
  <dcterms:created xsi:type="dcterms:W3CDTF">2025-02-04T12:46:00Z</dcterms:created>
  <dcterms:modified xsi:type="dcterms:W3CDTF">2025-02-26T09:38:00Z</dcterms:modified>
</cp:coreProperties>
</file>